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D5" w:rsidRDefault="00DA20D6" w:rsidP="00F608D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A20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Deklaracja dostępności</w:t>
      </w:r>
      <w:r w:rsidR="00F608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AD22E1" w:rsidRPr="00F50ED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cyfrowej strony internetowej.</w:t>
      </w:r>
    </w:p>
    <w:p w:rsidR="00DA20D6" w:rsidRPr="00DA20D6" w:rsidRDefault="00B17E53" w:rsidP="00F608D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</w:p>
    <w:p w:rsidR="001007E6" w:rsidRDefault="00BC5389" w:rsidP="00B17E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odniesieniu do dyspozycji zawartej w art. 10 </w:t>
      </w:r>
      <w:r w:rsidR="00AB25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z 4 kwietnia 2019 r o dostępności cyfrowej stron internetowych i aplikacji mobilnych podmiotów publicznych</w:t>
      </w:r>
      <w:r w:rsidR="006D4D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(dalej Ustawa)</w:t>
      </w:r>
      <w:r w:rsidR="00100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Samodzielny Publiczny Zakład Opieki Zdrowotnej w Stalowej Woli ul. Kwiatkowskiego 2 prezentuje deklarację dostępności cyfrowej strony internetowej. </w:t>
      </w:r>
    </w:p>
    <w:p w:rsidR="001007E6" w:rsidRDefault="001007E6" w:rsidP="00DA20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C5389" w:rsidRPr="006C4F4C" w:rsidRDefault="00DA20D6" w:rsidP="00B17E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4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Samodzielny Publiczny Zakład Opieki Zdrowotnej, </w:t>
      </w:r>
      <w:r w:rsidRPr="006C4F4C">
        <w:rPr>
          <w:rFonts w:ascii="Times New Roman" w:hAnsi="Times New Roman" w:cs="Times New Roman"/>
          <w:sz w:val="24"/>
          <w:szCs w:val="24"/>
        </w:rPr>
        <w:t xml:space="preserve">37-450 Stalowa Wola                             ul. Kwiatkowskiego 2, </w:t>
      </w:r>
      <w:r w:rsidRPr="006C4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zobowiązuje się zapewnić dostępność strony internetowej zgodnie z ustawą z dnia 4 kwietnia 2019 r. o dostępności cyfrowej stron internetowych i aplikacji mobilnych podmiotów publicznych. </w:t>
      </w:r>
    </w:p>
    <w:p w:rsidR="00BC5389" w:rsidRDefault="00BC5389" w:rsidP="00DA20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20D6" w:rsidRDefault="00DA20D6" w:rsidP="00B17E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4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w sprawie dostępności ma zastosowanie do serwisu internetowego </w:t>
      </w:r>
      <w:hyperlink r:id="rId6" w:history="1">
        <w:r w:rsidRPr="006C4F4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pl-PL"/>
          </w:rPr>
          <w:t>https://e-spzoz.eu</w:t>
        </w:r>
      </w:hyperlink>
      <w:r w:rsidRPr="006C4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oraz </w:t>
      </w:r>
      <w:r w:rsidR="006D4D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7" w:history="1">
        <w:r w:rsidRPr="006C4F4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pl-PL"/>
          </w:rPr>
          <w:t>https://bip.e-spzoz.eu</w:t>
        </w:r>
      </w:hyperlink>
      <w:r w:rsidR="006D4D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i wskazuje zarazem stan dostępności cyfrowej.</w:t>
      </w:r>
    </w:p>
    <w:p w:rsidR="006C4F4C" w:rsidRPr="006C4F4C" w:rsidRDefault="006C4F4C" w:rsidP="006C4F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007E6" w:rsidRPr="001007E6" w:rsidRDefault="001007E6" w:rsidP="001007E6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007E6" w:rsidRPr="00F16E45" w:rsidRDefault="001007E6" w:rsidP="001007E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F16E4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Stratus pod względem zgodności</w:t>
      </w:r>
    </w:p>
    <w:p w:rsidR="006C4F4C" w:rsidRPr="00F16E45" w:rsidRDefault="006C4F4C" w:rsidP="006C4F4C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C4F4C" w:rsidRDefault="006C4F4C" w:rsidP="006C4F4C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Niniejsza strona </w:t>
      </w:r>
      <w:r w:rsidR="006D4D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internetowa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zakresie funkcjonalności, kompatybilności, postrzegalności i zrozumiałośc</w:t>
      </w:r>
      <w:r w:rsidR="00F60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 (art. 5 ust</w:t>
      </w:r>
      <w:r w:rsidR="00B036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F60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</w:t>
      </w:r>
      <w:r w:rsidR="00B036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ustawy</w:t>
      </w:r>
      <w:r w:rsidR="00F60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 jest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częś</w:t>
      </w:r>
      <w:r w:rsidR="00F60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ciowo zgodna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wytycznymi </w:t>
      </w:r>
      <w:r w:rsidR="00A817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w zakresie zapewnienia dostępności cyfrowej.</w:t>
      </w:r>
    </w:p>
    <w:p w:rsidR="006C4F4C" w:rsidRDefault="006C4F4C" w:rsidP="006C4F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16E45" w:rsidRDefault="00A81794" w:rsidP="00B17E53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bookmarkStart w:id="0" w:name="_Toc18491650"/>
      <w:bookmarkStart w:id="1" w:name="_Toc62548022"/>
      <w:r w:rsidRPr="00F16E4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Treści niedostę</w:t>
      </w:r>
      <w:r w:rsidR="00B17E53" w:rsidRPr="00F16E4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pne</w:t>
      </w:r>
      <w:r w:rsidR="00F16E4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:</w:t>
      </w:r>
    </w:p>
    <w:p w:rsidR="00B17E53" w:rsidRPr="00F16E45" w:rsidRDefault="00B17E53" w:rsidP="00F16E45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F16E45">
        <w:rPr>
          <w:rFonts w:ascii="Calibri" w:eastAsia="F" w:hAnsi="Calibri" w:cs="F"/>
          <w:b/>
          <w:i/>
          <w:color w:val="000000"/>
          <w:kern w:val="3"/>
          <w:sz w:val="48"/>
          <w:szCs w:val="32"/>
          <w:lang w:eastAsia="zh-CN" w:bidi="hi-IN"/>
        </w:rPr>
        <w:t xml:space="preserve"> </w:t>
      </w:r>
    </w:p>
    <w:p w:rsidR="00B17E53" w:rsidRPr="00B17E53" w:rsidRDefault="00F608D5" w:rsidP="00B17E53">
      <w:pPr>
        <w:pStyle w:val="Akapitzlist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Wskazane</w:t>
      </w:r>
      <w:r w:rsidR="00410D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w deklaracji </w:t>
      </w:r>
      <w:r w:rsidR="00B17E53" w:rsidRPr="00B17E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treści  są niedostępne  z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B17E53" w:rsidRPr="00B17E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powodu </w:t>
      </w:r>
      <w:r w:rsidR="00B17E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nieproporcjonalnego obcią</w:t>
      </w:r>
      <w:r w:rsidR="00B17E53" w:rsidRPr="00B17E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żenia</w:t>
      </w:r>
      <w:r w:rsidR="005371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i trudności technicznych</w:t>
      </w:r>
      <w:r w:rsidR="00410D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B17E53" w:rsidRDefault="00B17E53" w:rsidP="00B17E53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Times New Roman" w:eastAsia="F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bookmarkEnd w:id="0"/>
    <w:bookmarkEnd w:id="1"/>
    <w:p w:rsidR="00DA20D6" w:rsidRPr="00F16E45" w:rsidRDefault="009A1B75" w:rsidP="00A8179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Wskazanie wymaganych elementów deklaracji  </w:t>
      </w:r>
      <w:r w:rsidR="006D4D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(art. 10 U</w:t>
      </w:r>
      <w:r w:rsidR="006505EB" w:rsidRPr="00F16E4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stawy)</w:t>
      </w:r>
    </w:p>
    <w:p w:rsidR="00F16E45" w:rsidRPr="00140ED5" w:rsidRDefault="006505EB" w:rsidP="00F16E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1/ </w:t>
      </w:r>
      <w:r w:rsidR="00F16E45" w:rsidRPr="00140ED5">
        <w:rPr>
          <w:rFonts w:ascii="Times New Roman" w:hAnsi="Times New Roman" w:cs="Times New Roman"/>
          <w:sz w:val="24"/>
          <w:szCs w:val="24"/>
          <w:lang w:eastAsia="pl-PL"/>
        </w:rPr>
        <w:t xml:space="preserve">Data publikacji strony internetowej:  </w:t>
      </w:r>
    </w:p>
    <w:p w:rsidR="00F16E45" w:rsidRPr="00140ED5" w:rsidRDefault="00F16E45" w:rsidP="004655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20D6" w:rsidRPr="00140ED5" w:rsidRDefault="00DA20D6" w:rsidP="004655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</w:t>
      </w:r>
      <w:hyperlink r:id="rId8" w:history="1">
        <w:r w:rsidRPr="00140ED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https://e-spzoz.eu</w:t>
        </w:r>
      </w:hyperlink>
      <w:r w:rsidRPr="0014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6D4D0D" w:rsidRPr="0014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 </w:t>
      </w:r>
      <w:r w:rsidR="00F16E45" w:rsidRPr="00140ED5">
        <w:rPr>
          <w:rFonts w:ascii="Times New Roman" w:hAnsi="Times New Roman" w:cs="Times New Roman"/>
          <w:sz w:val="24"/>
          <w:szCs w:val="24"/>
          <w:lang w:eastAsia="pl-PL"/>
        </w:rPr>
        <w:t>2008</w:t>
      </w:r>
    </w:p>
    <w:p w:rsidR="00F608D5" w:rsidRPr="00140ED5" w:rsidRDefault="00F16E45" w:rsidP="00F16E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14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F608D5" w:rsidRPr="0014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</w:t>
      </w:r>
      <w:hyperlink r:id="rId9" w:history="1">
        <w:r w:rsidR="00F608D5" w:rsidRPr="00140ED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https://bip.e-spzoz.eu</w:t>
        </w:r>
      </w:hyperlink>
      <w:r w:rsidRPr="0014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4D0D" w:rsidRPr="0014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4D0D" w:rsidRPr="00140E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-</w:t>
      </w:r>
      <w:r w:rsidRPr="00140E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140ED5" w:rsidRPr="00140ED5">
        <w:rPr>
          <w:rFonts w:ascii="Times New Roman" w:hAnsi="Times New Roman" w:cs="Times New Roman"/>
          <w:sz w:val="24"/>
          <w:szCs w:val="24"/>
          <w:lang w:eastAsia="pl-PL"/>
        </w:rPr>
        <w:t>2008</w:t>
      </w:r>
    </w:p>
    <w:p w:rsidR="00F608D5" w:rsidRPr="00140ED5" w:rsidRDefault="00F608D5" w:rsidP="00F16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D8E" w:rsidRPr="00140ED5" w:rsidRDefault="006505EB" w:rsidP="004655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140ED5">
        <w:rPr>
          <w:rFonts w:ascii="Times New Roman" w:hAnsi="Times New Roman" w:cs="Times New Roman"/>
          <w:sz w:val="24"/>
          <w:szCs w:val="24"/>
          <w:lang w:eastAsia="pl-PL"/>
        </w:rPr>
        <w:t xml:space="preserve">2/ </w:t>
      </w:r>
      <w:r w:rsidR="00DA20D6" w:rsidRPr="00140ED5">
        <w:rPr>
          <w:rFonts w:ascii="Times New Roman" w:hAnsi="Times New Roman" w:cs="Times New Roman"/>
          <w:sz w:val="24"/>
          <w:szCs w:val="24"/>
          <w:lang w:eastAsia="pl-PL"/>
        </w:rPr>
        <w:t>Data ostatniej dużej aktualizacji:</w:t>
      </w:r>
    </w:p>
    <w:p w:rsidR="00DA20D6" w:rsidRPr="00140ED5" w:rsidRDefault="00DA20D6" w:rsidP="004655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140ED5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A81794" w:rsidRPr="00140ED5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:rsidR="00DA20D6" w:rsidRPr="00140ED5" w:rsidRDefault="00F16E45" w:rsidP="00DA2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Strona </w:t>
      </w:r>
      <w:hyperlink r:id="rId10" w:history="1">
        <w:r w:rsidRPr="00140ED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https://e-spzoz.eu</w:t>
        </w:r>
      </w:hyperlink>
      <w:r w:rsidRPr="0014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6D4D0D" w:rsidRPr="0014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140ED5">
        <w:rPr>
          <w:rFonts w:ascii="Times New Roman" w:hAnsi="Times New Roman" w:cs="Times New Roman"/>
          <w:sz w:val="24"/>
          <w:szCs w:val="24"/>
          <w:lang w:eastAsia="pl-PL"/>
        </w:rPr>
        <w:t>2015</w:t>
      </w:r>
    </w:p>
    <w:p w:rsidR="00DA20D6" w:rsidRPr="00140ED5" w:rsidRDefault="00F16E45" w:rsidP="004655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14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</w:t>
      </w:r>
      <w:r w:rsidR="006D4D0D" w:rsidRPr="0014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https://bip.e-spzoz.eu    -   </w:t>
      </w:r>
      <w:r w:rsidR="00140ED5" w:rsidRPr="00140ED5">
        <w:rPr>
          <w:rFonts w:ascii="Times New Roman" w:eastAsia="Times New Roman" w:hAnsi="Times New Roman" w:cs="Times New Roman"/>
          <w:sz w:val="24"/>
          <w:szCs w:val="24"/>
          <w:lang w:eastAsia="pl-PL"/>
        </w:rPr>
        <w:t>2016</w:t>
      </w:r>
    </w:p>
    <w:p w:rsidR="00DA20D6" w:rsidRPr="00140ED5" w:rsidRDefault="00DA20D6" w:rsidP="00DA20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655C9" w:rsidRDefault="004655C9" w:rsidP="004655C9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65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3/ Inf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</w:t>
      </w:r>
      <w:r w:rsidRPr="00465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macja o sp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465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sobie dokona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nia oceny dostę</w:t>
      </w:r>
      <w:r w:rsidRPr="00465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pności cyfrowej</w:t>
      </w:r>
      <w:r w:rsidR="00F16E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4655C9" w:rsidRPr="00EF3AAC" w:rsidRDefault="004655C9" w:rsidP="004655C9">
      <w:pPr>
        <w:shd w:val="clear" w:color="auto" w:fill="FFFFFF"/>
        <w:spacing w:after="240" w:line="240" w:lineRule="auto"/>
        <w:ind w:left="708"/>
        <w:jc w:val="both"/>
        <w:textAlignment w:val="baseline"/>
        <w:rPr>
          <w:rFonts w:ascii="Times New Roman" w:hAnsi="Times New Roman" w:cs="Times New Roman"/>
        </w:rPr>
      </w:pPr>
      <w:r w:rsidRPr="00EF3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Deklarację sporządzono na podstawie samooceny przeprowadzonej przez podmiot publiczny we własnym zakresie, </w:t>
      </w:r>
      <w:r w:rsidR="00F16E45" w:rsidRPr="00EF3AAC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  porównanie</w:t>
      </w:r>
      <w:r w:rsidRPr="00EF3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stanu  faktycznego z wytycznymi Ustawy, </w:t>
      </w:r>
      <w:r w:rsidR="00F16E45" w:rsidRPr="00EF3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3AAC" w:rsidRPr="00EF3AAC">
        <w:rPr>
          <w:rFonts w:ascii="Times New Roman" w:eastAsia="Times New Roman" w:hAnsi="Times New Roman" w:cs="Times New Roman"/>
          <w:sz w:val="24"/>
          <w:szCs w:val="24"/>
          <w:lang w:eastAsia="pl-PL"/>
        </w:rPr>
        <w:t>m.in. z wykorzystaniem  analizy zawartej w tabeli  wskazanej w pkt</w:t>
      </w:r>
      <w:r w:rsidR="003534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F3AAC" w:rsidRPr="00EF3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4 </w:t>
      </w:r>
      <w:r w:rsidR="00353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deklaracji : </w:t>
      </w:r>
      <w:r w:rsidR="00C5733B" w:rsidRPr="00EF3AAC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C5733B" w:rsidRPr="00F50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Wytyczne dla dostępności treści internetowych 2.1 stosowane dla stron internetowych i aplikacji mobilnych w zakresie dostępności dla osób niepełnosprawnych”. </w:t>
      </w:r>
    </w:p>
    <w:p w:rsidR="002032A4" w:rsidRDefault="004655C9" w:rsidP="002032A4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4/  </w:t>
      </w:r>
      <w:r w:rsidRPr="004655C9">
        <w:rPr>
          <w:rFonts w:ascii="Times New Roman" w:hAnsi="Times New Roman" w:cs="Times New Roman"/>
          <w:color w:val="000000"/>
          <w:sz w:val="24"/>
          <w:szCs w:val="24"/>
        </w:rPr>
        <w:t>Dane teleadresowe: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Samodzielny Publiczny Zakład Opieki Zdrowotnej w Stalowej Woli ul. Kwiatkowskiego 2 37-450 Stalowa Wola.</w:t>
      </w:r>
      <w:r w:rsidR="002032A4">
        <w:rPr>
          <w:rFonts w:ascii="Times New Roman" w:hAnsi="Times New Roman" w:cs="Times New Roman"/>
          <w:color w:val="000000"/>
          <w:sz w:val="24"/>
          <w:szCs w:val="24"/>
        </w:rPr>
        <w:t xml:space="preserve"> Telefon</w:t>
      </w:r>
      <w:r w:rsidR="009A1B7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032A4">
        <w:rPr>
          <w:rFonts w:ascii="Times New Roman" w:hAnsi="Times New Roman" w:cs="Times New Roman"/>
          <w:color w:val="000000"/>
          <w:sz w:val="24"/>
          <w:szCs w:val="24"/>
        </w:rPr>
        <w:t xml:space="preserve"> sekretariat dyrekcji: 15 842 10 17.  Email:  sekretriat@e-spzoz.eu.  Osoba wyznaczona do realizacji spraw w zakresie dostępności cyfrowej:  Wojciech Korkowski – dyrektor zakładu / Zofia Jurkowska zastępca dyrektora</w:t>
      </w:r>
      <w:r w:rsidR="009A1B7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32A4" w:rsidRDefault="002032A4" w:rsidP="002032A4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4655C9" w:rsidRPr="00F979BF" w:rsidRDefault="002032A4" w:rsidP="002032A4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5/ Informacja na temat utworzon</w:t>
      </w:r>
      <w:r w:rsidR="006D4D0D">
        <w:rPr>
          <w:rFonts w:ascii="Times New Roman" w:hAnsi="Times New Roman" w:cs="Times New Roman"/>
          <w:color w:val="000000"/>
          <w:sz w:val="24"/>
          <w:szCs w:val="24"/>
        </w:rPr>
        <w:t>ych na stronie internetow</w:t>
      </w:r>
      <w:r w:rsidR="009A1B75">
        <w:rPr>
          <w:rFonts w:ascii="Times New Roman" w:hAnsi="Times New Roman" w:cs="Times New Roman"/>
          <w:color w:val="000000"/>
          <w:sz w:val="24"/>
          <w:szCs w:val="24"/>
        </w:rPr>
        <w:t>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skrótów klawiszowych służących do przemieszczania się po stronie internetowej</w:t>
      </w:r>
      <w:r w:rsidRPr="00140ED5">
        <w:rPr>
          <w:rFonts w:ascii="Times New Roman" w:hAnsi="Times New Roman" w:cs="Times New Roman"/>
          <w:sz w:val="24"/>
          <w:szCs w:val="24"/>
        </w:rPr>
        <w:t>:</w:t>
      </w:r>
      <w:r w:rsidRPr="0014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6E45" w:rsidRPr="00140ED5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140ED5">
        <w:rPr>
          <w:rFonts w:ascii="Times New Roman" w:eastAsia="Times New Roman" w:hAnsi="Times New Roman" w:cs="Times New Roman"/>
          <w:sz w:val="24"/>
          <w:szCs w:val="24"/>
          <w:lang w:eastAsia="pl-PL"/>
        </w:rPr>
        <w:t>a stronie internetowej można korzystać ze standardowych skrótów klawiaturowych</w:t>
      </w:r>
      <w:r w:rsidR="00140E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032A4" w:rsidRDefault="002032A4" w:rsidP="002032A4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D22E1" w:rsidRPr="00F50EDA" w:rsidRDefault="002032A4" w:rsidP="00AD22E1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EDA">
        <w:rPr>
          <w:rFonts w:ascii="Times New Roman" w:eastAsia="Times New Roman" w:hAnsi="Times New Roman" w:cs="Times New Roman"/>
          <w:sz w:val="24"/>
          <w:szCs w:val="24"/>
          <w:lang w:eastAsia="pl-PL"/>
        </w:rPr>
        <w:t>6/ Informacja  o  dostępności  architektonicznej</w:t>
      </w:r>
      <w:r w:rsidR="00AD22E1" w:rsidRPr="00F50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siedziby zakładu dla osób </w:t>
      </w:r>
    </w:p>
    <w:p w:rsidR="002032A4" w:rsidRPr="00F50EDA" w:rsidRDefault="00AD22E1" w:rsidP="00AD22E1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F50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niepełnosprawnych</w:t>
      </w:r>
      <w:r w:rsidR="002032A4" w:rsidRPr="00F50ED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2032A4" w:rsidRPr="00F50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 </w:t>
      </w:r>
    </w:p>
    <w:p w:rsidR="00AD22E1" w:rsidRDefault="00AD22E1" w:rsidP="00461DA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32A4" w:rsidRPr="00DA20D6" w:rsidRDefault="002032A4" w:rsidP="00461DA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0D6">
        <w:rPr>
          <w:rFonts w:ascii="Times New Roman" w:hAnsi="Times New Roman" w:cs="Times New Roman"/>
          <w:sz w:val="24"/>
          <w:szCs w:val="24"/>
        </w:rPr>
        <w:t>Do budynku prowadzi 5 wejść:</w:t>
      </w:r>
    </w:p>
    <w:p w:rsidR="00CB00A4" w:rsidRPr="00CB00A4" w:rsidRDefault="002032A4" w:rsidP="00CB00A4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0D6">
        <w:rPr>
          <w:rFonts w:ascii="Times New Roman" w:hAnsi="Times New Roman" w:cs="Times New Roman"/>
          <w:sz w:val="24"/>
          <w:szCs w:val="24"/>
        </w:rPr>
        <w:t xml:space="preserve">Wejście główne od ulicy Kwiatkowskiego – prowadzą do niego szerokie schody podzielone  w środku wzdłuż barierką służącą do podtrzymania. Obok schodów zlokalizowany jest podjazd dla osób niepełnosprawnych oraz poruszających się  na wózkach. </w:t>
      </w:r>
      <w:r w:rsidR="00CB00A4" w:rsidRPr="00CB00A4">
        <w:rPr>
          <w:rFonts w:ascii="Times New Roman" w:hAnsi="Times New Roman" w:cs="Times New Roman"/>
          <w:sz w:val="24"/>
          <w:szCs w:val="24"/>
        </w:rPr>
        <w:t xml:space="preserve">Przed wejściem głównym do budynku znajduje się parking z </w:t>
      </w:r>
      <w:r w:rsidR="00A23186">
        <w:rPr>
          <w:rFonts w:ascii="Times New Roman" w:hAnsi="Times New Roman" w:cs="Times New Roman"/>
          <w:sz w:val="24"/>
          <w:szCs w:val="24"/>
        </w:rPr>
        <w:t>ośmioma</w:t>
      </w:r>
      <w:r w:rsidR="00CB00A4" w:rsidRPr="00CB00A4">
        <w:rPr>
          <w:rFonts w:ascii="Times New Roman" w:hAnsi="Times New Roman" w:cs="Times New Roman"/>
          <w:sz w:val="24"/>
          <w:szCs w:val="24"/>
        </w:rPr>
        <w:t xml:space="preserve"> miejscami parkingowymi, w tym  trzy  miejsca dla osób niepełnosprawnych.   W najbliższym otoczeniu budynku znajduje duża ilość </w:t>
      </w:r>
      <w:r w:rsidR="00CB00A4">
        <w:rPr>
          <w:rFonts w:ascii="Times New Roman" w:hAnsi="Times New Roman" w:cs="Times New Roman"/>
          <w:sz w:val="24"/>
          <w:szCs w:val="24"/>
        </w:rPr>
        <w:t xml:space="preserve">innych </w:t>
      </w:r>
      <w:r w:rsidR="00CB00A4" w:rsidRPr="00CB00A4">
        <w:rPr>
          <w:rFonts w:ascii="Times New Roman" w:hAnsi="Times New Roman" w:cs="Times New Roman"/>
          <w:sz w:val="24"/>
          <w:szCs w:val="24"/>
        </w:rPr>
        <w:t>dodatkowych  miejsc parkingowych.</w:t>
      </w:r>
    </w:p>
    <w:p w:rsidR="00CB00A4" w:rsidRDefault="00CB00A4" w:rsidP="00CB00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0A4" w:rsidRDefault="00CB00A4" w:rsidP="00CB00A4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A20D6">
        <w:rPr>
          <w:rFonts w:ascii="Times New Roman" w:hAnsi="Times New Roman" w:cs="Times New Roman"/>
          <w:sz w:val="24"/>
          <w:szCs w:val="24"/>
        </w:rPr>
        <w:t>Do wejścia głównego prowadzą podwójne  drzwi, za którymi znajduje się wiatrołap                    a następnie przestronny  hol, w obrębie którego po</w:t>
      </w:r>
      <w:r>
        <w:rPr>
          <w:rFonts w:ascii="Times New Roman" w:hAnsi="Times New Roman" w:cs="Times New Roman"/>
          <w:sz w:val="24"/>
          <w:szCs w:val="24"/>
        </w:rPr>
        <w:t xml:space="preserve"> stronie prawej jest portiernia, natomiast </w:t>
      </w:r>
      <w:r w:rsidRPr="00DA20D6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 stronie</w:t>
      </w:r>
      <w:r w:rsidRPr="00DA20D6">
        <w:rPr>
          <w:rFonts w:ascii="Times New Roman" w:hAnsi="Times New Roman" w:cs="Times New Roman"/>
          <w:sz w:val="24"/>
          <w:szCs w:val="24"/>
        </w:rPr>
        <w:t xml:space="preserve"> lewej </w:t>
      </w:r>
      <w:r w:rsidR="00690B85">
        <w:rPr>
          <w:rFonts w:ascii="Times New Roman" w:hAnsi="Times New Roman" w:cs="Times New Roman"/>
          <w:sz w:val="24"/>
          <w:szCs w:val="24"/>
        </w:rPr>
        <w:t xml:space="preserve">mieści się </w:t>
      </w:r>
      <w:r w:rsidRPr="00DA20D6">
        <w:rPr>
          <w:rFonts w:ascii="Times New Roman" w:hAnsi="Times New Roman" w:cs="Times New Roman"/>
          <w:sz w:val="24"/>
          <w:szCs w:val="24"/>
        </w:rPr>
        <w:t xml:space="preserve">rejestracja, gdzie można uzyskać potrzebne informację między innymi gdzie znajduje się dane pomieszczenie.  </w:t>
      </w:r>
    </w:p>
    <w:p w:rsidR="002032A4" w:rsidRPr="00DA20D6" w:rsidRDefault="002032A4" w:rsidP="00CB00A4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32A4" w:rsidRDefault="002032A4" w:rsidP="00461DAE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0D6">
        <w:rPr>
          <w:rFonts w:ascii="Times New Roman" w:hAnsi="Times New Roman" w:cs="Times New Roman"/>
          <w:sz w:val="24"/>
          <w:szCs w:val="24"/>
        </w:rPr>
        <w:t>Wejście boczne, po prawej stronie budynku, użytkowane okresowo, miedzy innymi jako wyjście ewakuacyjne - prowadzą do niego szerokie schody ośmiostopniowe. Wejście nie jest dostosowane do korzystania przez osoby niepełnosprawne.</w:t>
      </w:r>
    </w:p>
    <w:p w:rsidR="002032A4" w:rsidRPr="00DA20D6" w:rsidRDefault="002032A4" w:rsidP="002032A4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32A4" w:rsidRDefault="002032A4" w:rsidP="00461DAE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Wejście od strony patio</w:t>
      </w:r>
      <w:r w:rsidRPr="00DA20D6">
        <w:rPr>
          <w:rFonts w:ascii="Times New Roman" w:hAnsi="Times New Roman" w:cs="Times New Roman"/>
          <w:sz w:val="24"/>
          <w:szCs w:val="24"/>
        </w:rPr>
        <w:t xml:space="preserve"> – prowadzą do niego pięciostopniowe schody. Obok schodów, wzdłuż ściany budynku zlokalizowany jest podjazd dla osób niepełnosprawnych oraz poruszających się na wózkach.</w:t>
      </w:r>
    </w:p>
    <w:p w:rsidR="002032A4" w:rsidRPr="00DA20D6" w:rsidRDefault="002032A4" w:rsidP="002032A4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32A4" w:rsidRPr="00DA20D6" w:rsidRDefault="002032A4" w:rsidP="00461DAE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0D6">
        <w:rPr>
          <w:rFonts w:ascii="Times New Roman" w:hAnsi="Times New Roman" w:cs="Times New Roman"/>
          <w:sz w:val="24"/>
          <w:szCs w:val="24"/>
        </w:rPr>
        <w:t xml:space="preserve">Wejście boczne z prawej strony budynku </w:t>
      </w:r>
      <w:r w:rsidR="00783469">
        <w:rPr>
          <w:rFonts w:ascii="Times New Roman" w:hAnsi="Times New Roman" w:cs="Times New Roman"/>
          <w:sz w:val="24"/>
          <w:szCs w:val="24"/>
        </w:rPr>
        <w:t xml:space="preserve">(wejście służbowe dla personelu zakładu) </w:t>
      </w:r>
      <w:r w:rsidRPr="00DA20D6">
        <w:rPr>
          <w:rFonts w:ascii="Times New Roman" w:hAnsi="Times New Roman" w:cs="Times New Roman"/>
          <w:sz w:val="24"/>
          <w:szCs w:val="24"/>
        </w:rPr>
        <w:t>– prowadzą do niego schody pięciostopniowe, wejście nie jest dostosowane do korzystania przez osoby niepełnosprawne.</w:t>
      </w:r>
    </w:p>
    <w:p w:rsidR="00783469" w:rsidRDefault="002032A4" w:rsidP="00461DAE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0D6">
        <w:rPr>
          <w:rFonts w:ascii="Times New Roman" w:hAnsi="Times New Roman" w:cs="Times New Roman"/>
          <w:sz w:val="24"/>
          <w:szCs w:val="24"/>
        </w:rPr>
        <w:t>Wejści</w:t>
      </w:r>
      <w:r w:rsidR="00783469">
        <w:rPr>
          <w:rFonts w:ascii="Times New Roman" w:hAnsi="Times New Roman" w:cs="Times New Roman"/>
          <w:sz w:val="24"/>
          <w:szCs w:val="24"/>
        </w:rPr>
        <w:t>e tylne do budynku od strony strefy ekonomicznej – prowadzą</w:t>
      </w:r>
      <w:r w:rsidRPr="00DA20D6">
        <w:rPr>
          <w:rFonts w:ascii="Times New Roman" w:hAnsi="Times New Roman" w:cs="Times New Roman"/>
          <w:sz w:val="24"/>
          <w:szCs w:val="24"/>
        </w:rPr>
        <w:t xml:space="preserve"> </w:t>
      </w:r>
      <w:r w:rsidR="00783469">
        <w:rPr>
          <w:rFonts w:ascii="Times New Roman" w:hAnsi="Times New Roman" w:cs="Times New Roman"/>
          <w:sz w:val="24"/>
          <w:szCs w:val="24"/>
        </w:rPr>
        <w:t>do niego czterostopniowe schody</w:t>
      </w:r>
      <w:r w:rsidRPr="00DA20D6">
        <w:rPr>
          <w:rFonts w:ascii="Times New Roman" w:hAnsi="Times New Roman" w:cs="Times New Roman"/>
          <w:sz w:val="24"/>
          <w:szCs w:val="24"/>
        </w:rPr>
        <w:t xml:space="preserve">. Obok schodów, wzdłuż ściany budynku zlokalizowany jest podjazd dla osób niepełnosprawnych oraz poruszających się na wózkach. </w:t>
      </w:r>
    </w:p>
    <w:p w:rsidR="00783469" w:rsidRDefault="00783469" w:rsidP="0078346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32A4" w:rsidRDefault="00EE4B5B" w:rsidP="00461DAE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032A4" w:rsidRPr="00DA20D6">
        <w:rPr>
          <w:rFonts w:ascii="Times New Roman" w:hAnsi="Times New Roman" w:cs="Times New Roman"/>
          <w:sz w:val="24"/>
          <w:szCs w:val="24"/>
        </w:rPr>
        <w:t xml:space="preserve">udynek jest jednopiętrowy z częściowym podpiwniczeniem. Na piętro budynku prowadzą schody zlokalizowane w holu głównym oraz schody przy wejściu tylnym do budynku. </w:t>
      </w:r>
    </w:p>
    <w:p w:rsidR="00EE4B5B" w:rsidRDefault="00EE4B5B" w:rsidP="00EE4B5B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0D6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tylnym </w:t>
      </w:r>
      <w:r w:rsidRPr="00DA20D6">
        <w:rPr>
          <w:rFonts w:ascii="Times New Roman" w:hAnsi="Times New Roman" w:cs="Times New Roman"/>
          <w:sz w:val="24"/>
          <w:szCs w:val="24"/>
        </w:rPr>
        <w:t xml:space="preserve">wejściem po lewej stronie znajduje się winda, </w:t>
      </w:r>
      <w:r>
        <w:rPr>
          <w:rFonts w:ascii="Times New Roman" w:hAnsi="Times New Roman" w:cs="Times New Roman"/>
          <w:sz w:val="24"/>
          <w:szCs w:val="24"/>
        </w:rPr>
        <w:t xml:space="preserve"> zapewniająca dostęp </w:t>
      </w:r>
      <w:r w:rsidRPr="00DA20D6">
        <w:rPr>
          <w:rFonts w:ascii="Times New Roman" w:hAnsi="Times New Roman" w:cs="Times New Roman"/>
          <w:sz w:val="24"/>
          <w:szCs w:val="24"/>
        </w:rPr>
        <w:t xml:space="preserve"> na pierwsze piętro.</w:t>
      </w:r>
    </w:p>
    <w:p w:rsidR="00EE4B5B" w:rsidRPr="00DA20D6" w:rsidRDefault="00EE4B5B" w:rsidP="00461DAE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032A4" w:rsidRPr="00DA20D6" w:rsidRDefault="002032A4" w:rsidP="00461DAE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0D6">
        <w:rPr>
          <w:rFonts w:ascii="Times New Roman" w:hAnsi="Times New Roman" w:cs="Times New Roman"/>
          <w:sz w:val="24"/>
          <w:szCs w:val="24"/>
        </w:rPr>
        <w:t>W budynku znajduje się 14 sanitariatów dostępnych dla pacjentów, z czego 9 kabin jest dostosowanych do korzystania przez osoby niepełnosprawne.</w:t>
      </w:r>
    </w:p>
    <w:p w:rsidR="00783469" w:rsidRDefault="00783469" w:rsidP="0078346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32A4" w:rsidRPr="00783469" w:rsidRDefault="002032A4" w:rsidP="00461DA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A2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budynku  </w:t>
      </w:r>
      <w:r w:rsidR="00783469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wejść z psem asystującym /</w:t>
      </w:r>
      <w:r w:rsidRPr="00DA2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psem przewodnikiem.</w:t>
      </w:r>
      <w:r w:rsidRPr="00DA20D6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 </w:t>
      </w:r>
      <w:r w:rsidR="00783469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 </w:t>
      </w:r>
      <w:r w:rsidRPr="00DA20D6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 </w:t>
      </w:r>
      <w:r w:rsid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Pies może być</w:t>
      </w: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pozostawiony </w:t>
      </w: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pod opieką personelu zakładu, </w:t>
      </w:r>
      <w:r w:rsid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 </w:t>
      </w:r>
      <w:r w:rsid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osoba niepełnosprawna  może  </w:t>
      </w: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poruszać się po budynku korzystając z pomocy </w:t>
      </w:r>
      <w:r w:rsidR="00783469" w:rsidRPr="00F50EDA">
        <w:rPr>
          <w:rFonts w:ascii="Times New Roman" w:eastAsia="Times New Roman" w:hAnsi="Times New Roman" w:cs="Times New Roman"/>
          <w:sz w:val="24"/>
          <w:szCs w:val="24"/>
          <w:lang w:eastAsia="pl-PL"/>
        </w:rPr>
        <w:t>innego</w:t>
      </w:r>
      <w:r w:rsid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personelu. </w:t>
      </w:r>
      <w:r w:rsid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Jednakże taką opiekę trzeba zorganizować niezwłocznie po przekazaniu przez osobę niepełnosprawną takiego zapotrzebowania.</w:t>
      </w:r>
    </w:p>
    <w:p w:rsidR="002032A4" w:rsidRPr="00783469" w:rsidRDefault="002032A4" w:rsidP="00461DAE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budynku jest możliwość dostępu </w:t>
      </w:r>
      <w:r w:rsid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osób poruszających się na</w:t>
      </w:r>
      <w:r w:rsidR="00783469"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wózkach </w:t>
      </w: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wszystkich pomieszczeń</w:t>
      </w:r>
      <w:r w:rsidR="00461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których wykony</w:t>
      </w:r>
      <w:r w:rsidR="00461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wane są czynności medyczne oraz do większości pomieszczeń gospodarczych (za wyjątkiem piwnic)</w:t>
      </w: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783469" w:rsidRDefault="002032A4" w:rsidP="00461DAE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budynku znajdują się informacje o rozkładzie pomieszczeń </w:t>
      </w:r>
      <w:r w:rsid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prezentowane w sposób </w:t>
      </w: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wizualny</w:t>
      </w:r>
    </w:p>
    <w:p w:rsidR="002032A4" w:rsidRPr="00783469" w:rsidRDefault="002032A4" w:rsidP="00461DAE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ścianach korytarzy znajdują się </w:t>
      </w:r>
      <w:r w:rsidR="00461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oznaczenia</w:t>
      </w: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które </w:t>
      </w:r>
      <w:r w:rsidR="00461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wskazują drogę</w:t>
      </w: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ewakuacji z budynku.</w:t>
      </w:r>
    </w:p>
    <w:p w:rsidR="00461DAE" w:rsidRPr="00EF3AAC" w:rsidRDefault="00EF3AAC" w:rsidP="00EF3AA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3AAC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461DAE" w:rsidRPr="00EF3AAC">
        <w:rPr>
          <w:rFonts w:ascii="Times New Roman" w:hAnsi="Times New Roman" w:cs="Times New Roman"/>
        </w:rPr>
        <w:t xml:space="preserve">    </w:t>
      </w:r>
      <w:r w:rsidR="00461DAE" w:rsidRPr="00EF3AAC">
        <w:rPr>
          <w:rFonts w:ascii="Times New Roman" w:hAnsi="Times New Roman" w:cs="Times New Roman"/>
        </w:rPr>
        <w:tab/>
      </w:r>
      <w:r w:rsidR="002032A4" w:rsidRPr="00EF3AAC">
        <w:rPr>
          <w:rFonts w:ascii="Times New Roman" w:hAnsi="Times New Roman" w:cs="Times New Roman"/>
          <w:sz w:val="24"/>
          <w:szCs w:val="24"/>
        </w:rPr>
        <w:t>W budynku nie ma oznaczeń w al</w:t>
      </w:r>
      <w:r w:rsidR="00461DAE" w:rsidRPr="00EF3AAC">
        <w:rPr>
          <w:rFonts w:ascii="Times New Roman" w:hAnsi="Times New Roman" w:cs="Times New Roman"/>
          <w:sz w:val="24"/>
          <w:szCs w:val="24"/>
        </w:rPr>
        <w:t xml:space="preserve">fabecie </w:t>
      </w:r>
      <w:proofErr w:type="spellStart"/>
      <w:r w:rsidR="00461DAE" w:rsidRPr="00EF3AAC">
        <w:rPr>
          <w:rFonts w:ascii="Times New Roman" w:hAnsi="Times New Roman" w:cs="Times New Roman"/>
          <w:sz w:val="24"/>
          <w:szCs w:val="24"/>
        </w:rPr>
        <w:t>B</w:t>
      </w:r>
      <w:r w:rsidR="002032A4" w:rsidRPr="00EF3AAC">
        <w:rPr>
          <w:rFonts w:ascii="Times New Roman" w:hAnsi="Times New Roman" w:cs="Times New Roman"/>
          <w:sz w:val="24"/>
          <w:szCs w:val="24"/>
        </w:rPr>
        <w:t>raj</w:t>
      </w:r>
      <w:r w:rsidR="00461DAE" w:rsidRPr="00EF3AAC">
        <w:rPr>
          <w:rFonts w:ascii="Times New Roman" w:hAnsi="Times New Roman" w:cs="Times New Roman"/>
          <w:sz w:val="24"/>
          <w:szCs w:val="24"/>
        </w:rPr>
        <w:t>gla</w:t>
      </w:r>
      <w:proofErr w:type="spellEnd"/>
      <w:r w:rsidR="00461DAE" w:rsidRPr="00EF3AAC">
        <w:rPr>
          <w:rFonts w:ascii="Times New Roman" w:hAnsi="Times New Roman" w:cs="Times New Roman"/>
          <w:sz w:val="24"/>
          <w:szCs w:val="24"/>
        </w:rPr>
        <w:t xml:space="preserve"> (z wyjątkiem windy</w:t>
      </w:r>
      <w:r w:rsidR="002032A4" w:rsidRPr="00EF3AAC">
        <w:rPr>
          <w:rFonts w:ascii="Times New Roman" w:hAnsi="Times New Roman" w:cs="Times New Roman"/>
          <w:sz w:val="24"/>
          <w:szCs w:val="24"/>
        </w:rPr>
        <w:t>) ani oznaczeń</w:t>
      </w:r>
    </w:p>
    <w:p w:rsidR="002032A4" w:rsidRPr="00EF3AAC" w:rsidRDefault="002032A4" w:rsidP="00EF3AA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3AAC">
        <w:rPr>
          <w:rFonts w:ascii="Times New Roman" w:hAnsi="Times New Roman" w:cs="Times New Roman"/>
          <w:sz w:val="24"/>
          <w:szCs w:val="24"/>
        </w:rPr>
        <w:t xml:space="preserve"> </w:t>
      </w:r>
      <w:r w:rsidR="00461DAE" w:rsidRPr="00EF3AAC">
        <w:rPr>
          <w:rFonts w:ascii="Times New Roman" w:hAnsi="Times New Roman" w:cs="Times New Roman"/>
          <w:sz w:val="24"/>
          <w:szCs w:val="24"/>
        </w:rPr>
        <w:t xml:space="preserve">     </w:t>
      </w:r>
      <w:r w:rsidR="00461DAE" w:rsidRPr="00EF3AA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F3AAC">
        <w:rPr>
          <w:rFonts w:ascii="Times New Roman" w:hAnsi="Times New Roman" w:cs="Times New Roman"/>
          <w:sz w:val="24"/>
          <w:szCs w:val="24"/>
        </w:rPr>
        <w:t xml:space="preserve">kontrastowych w druku powiększonym dla osób </w:t>
      </w:r>
      <w:r w:rsidR="00461DAE" w:rsidRPr="00EF3AAC">
        <w:rPr>
          <w:rFonts w:ascii="Times New Roman" w:hAnsi="Times New Roman" w:cs="Times New Roman"/>
          <w:sz w:val="24"/>
          <w:szCs w:val="24"/>
        </w:rPr>
        <w:t xml:space="preserve"> </w:t>
      </w:r>
      <w:r w:rsidRPr="00EF3AAC">
        <w:rPr>
          <w:rFonts w:ascii="Times New Roman" w:hAnsi="Times New Roman" w:cs="Times New Roman"/>
          <w:sz w:val="24"/>
          <w:szCs w:val="24"/>
        </w:rPr>
        <w:t xml:space="preserve">niewidomych </w:t>
      </w:r>
      <w:r w:rsidR="00461DAE" w:rsidRPr="00EF3AAC">
        <w:rPr>
          <w:rFonts w:ascii="Times New Roman" w:hAnsi="Times New Roman" w:cs="Times New Roman"/>
          <w:sz w:val="24"/>
          <w:szCs w:val="24"/>
        </w:rPr>
        <w:t xml:space="preserve"> </w:t>
      </w:r>
      <w:r w:rsidRPr="00EF3AAC">
        <w:rPr>
          <w:rFonts w:ascii="Times New Roman" w:hAnsi="Times New Roman" w:cs="Times New Roman"/>
          <w:sz w:val="24"/>
          <w:szCs w:val="24"/>
        </w:rPr>
        <w:t>i słabo widzących.</w:t>
      </w:r>
    </w:p>
    <w:p w:rsidR="00AD22E1" w:rsidRDefault="00AD22E1" w:rsidP="00AD2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61DAE" w:rsidRPr="00EF3AAC" w:rsidRDefault="00461DAE" w:rsidP="002321FA">
      <w:pPr>
        <w:ind w:left="70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7/ </w:t>
      </w:r>
      <w:r w:rsidR="002032A4" w:rsidRPr="00DA20D6">
        <w:rPr>
          <w:rFonts w:ascii="Times New Roman" w:hAnsi="Times New Roman" w:cs="Times New Roman"/>
          <w:sz w:val="24"/>
          <w:szCs w:val="24"/>
        </w:rPr>
        <w:t>W budynku nie można skorzystać z tłumacza języka migowego</w:t>
      </w:r>
      <w:r w:rsidR="002321FA" w:rsidRPr="00EF3AA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2321FA" w:rsidRPr="00F34942">
        <w:rPr>
          <w:rFonts w:ascii="Times New Roman" w:hAnsi="Times New Roman" w:cs="Times New Roman"/>
          <w:sz w:val="24"/>
          <w:szCs w:val="24"/>
        </w:rPr>
        <w:t>za pośrednictwem środków komunikacji elektronicznej</w:t>
      </w:r>
      <w:r w:rsidR="002032A4" w:rsidRPr="00F34942">
        <w:rPr>
          <w:rFonts w:ascii="Times New Roman" w:hAnsi="Times New Roman" w:cs="Times New Roman"/>
          <w:sz w:val="24"/>
          <w:szCs w:val="24"/>
        </w:rPr>
        <w:t>.</w:t>
      </w:r>
    </w:p>
    <w:p w:rsidR="00461DAE" w:rsidRPr="00F979BF" w:rsidRDefault="00461DAE" w:rsidP="00461DAE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8/ Link do deklaracji dostępności </w:t>
      </w:r>
      <w:r w:rsidRPr="00EF3AAC">
        <w:rPr>
          <w:rFonts w:ascii="Times New Roman" w:hAnsi="Times New Roman" w:cs="Times New Roman"/>
          <w:sz w:val="24"/>
          <w:szCs w:val="24"/>
        </w:rPr>
        <w:t>aplikacji mobilnej – nie ma zastosowania.</w:t>
      </w:r>
    </w:p>
    <w:p w:rsidR="00461DAE" w:rsidRDefault="00410D27" w:rsidP="00410D27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 Informacja o moż</w:t>
      </w:r>
      <w:r w:rsidR="00461DAE">
        <w:rPr>
          <w:rFonts w:ascii="Times New Roman" w:hAnsi="Times New Roman" w:cs="Times New Roman"/>
          <w:sz w:val="24"/>
          <w:szCs w:val="24"/>
        </w:rPr>
        <w:t>liwo</w:t>
      </w:r>
      <w:r>
        <w:rPr>
          <w:rFonts w:ascii="Times New Roman" w:hAnsi="Times New Roman" w:cs="Times New Roman"/>
          <w:sz w:val="24"/>
          <w:szCs w:val="24"/>
        </w:rPr>
        <w:t>ś</w:t>
      </w:r>
      <w:r w:rsidR="00461DAE">
        <w:rPr>
          <w:rFonts w:ascii="Times New Roman" w:hAnsi="Times New Roman" w:cs="Times New Roman"/>
          <w:sz w:val="24"/>
          <w:szCs w:val="24"/>
        </w:rPr>
        <w:t>ci powi</w:t>
      </w:r>
      <w:r>
        <w:rPr>
          <w:rFonts w:ascii="Times New Roman" w:hAnsi="Times New Roman" w:cs="Times New Roman"/>
          <w:sz w:val="24"/>
          <w:szCs w:val="24"/>
        </w:rPr>
        <w:t>a</w:t>
      </w:r>
      <w:r w:rsidR="00461DAE">
        <w:rPr>
          <w:rFonts w:ascii="Times New Roman" w:hAnsi="Times New Roman" w:cs="Times New Roman"/>
          <w:sz w:val="24"/>
          <w:szCs w:val="24"/>
        </w:rPr>
        <w:t>domienia podmiotu publicznego o braku dostępności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DAE">
        <w:rPr>
          <w:rFonts w:ascii="Times New Roman" w:hAnsi="Times New Roman" w:cs="Times New Roman"/>
          <w:sz w:val="24"/>
          <w:szCs w:val="24"/>
        </w:rPr>
        <w:t>cyfrowej:</w:t>
      </w:r>
    </w:p>
    <w:p w:rsidR="00461DAE" w:rsidRPr="00461DAE" w:rsidRDefault="00461DAE" w:rsidP="00461DAE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61D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problemów z dostępnością strony internetowej prosimy o kontakt z osobą odpowiedzialną:   dyrektor Wojciech Korkowski lub w razie nieobecności zastępca dyrektor Zofia Jurkowska.   Adres poczty elektronicznej </w:t>
      </w:r>
      <w:hyperlink r:id="rId11" w:history="1">
        <w:r w:rsidRPr="00461DAE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pl-PL"/>
          </w:rPr>
          <w:t>sekretariat@e-spzoz.eu</w:t>
        </w:r>
      </w:hyperlink>
      <w:r w:rsidRPr="00461D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;  </w:t>
      </w:r>
      <w:r w:rsidRPr="00461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telefon lub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fax</w:t>
      </w:r>
      <w:r w:rsidRPr="00461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 numerem 15 842 10 17 .</w:t>
      </w:r>
    </w:p>
    <w:p w:rsidR="00461DAE" w:rsidRDefault="00461DAE" w:rsidP="00461D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61DAE" w:rsidRPr="00AF4D94" w:rsidRDefault="00461DAE" w:rsidP="00461DAE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371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Tą samą drogą można składać wnioski o udostępnienie informacji niedostępnej oraz składać skargi na brak zapewnienia dostępności.</w:t>
      </w:r>
    </w:p>
    <w:p w:rsidR="00461DAE" w:rsidRPr="005371E2" w:rsidRDefault="00461DAE" w:rsidP="00461D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461DAE" w:rsidRDefault="00461DAE" w:rsidP="00461DAE">
      <w:pPr>
        <w:shd w:val="clear" w:color="auto" w:fill="FFFFFF"/>
        <w:spacing w:after="24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71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ma prawo do wystąpienia z żądaniem zapewnienia dostępności cyfrowej strony internetowej, aplikacji mob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ilnej lub jakiegoś ich elementu zgodnie ze wskazaniami ustawy. </w:t>
      </w:r>
      <w:r w:rsidRPr="005371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10D27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 xml:space="preserve"> </w:t>
      </w:r>
    </w:p>
    <w:p w:rsidR="00461DAE" w:rsidRPr="00AF4D94" w:rsidRDefault="00461DAE" w:rsidP="00461DAE">
      <w:pPr>
        <w:shd w:val="clear" w:color="auto" w:fill="FFFFFF"/>
        <w:spacing w:after="24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71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Żądanie powinno zawierać dane osoby zgłaszającej żądanie, wskazanie, o którą stronę internetową  chodzi oraz sposób kontaktu. Jeżeli osoba żądająca zgłasza potrzebę otrzymania informacji w formie alternatywnej, powinna także określić formę tej informacji.</w:t>
      </w:r>
    </w:p>
    <w:p w:rsidR="00461DAE" w:rsidRDefault="00461DAE" w:rsidP="00461DAE">
      <w:pPr>
        <w:shd w:val="clear" w:color="auto" w:fill="FFFFFF"/>
        <w:spacing w:after="24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71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Podmiot publiczny powinien zrealizować żądanie niezwłocznie i nie później, niż w ciągu 7 dni. </w:t>
      </w:r>
    </w:p>
    <w:p w:rsidR="00461DAE" w:rsidRDefault="00461DAE" w:rsidP="00461DAE">
      <w:pPr>
        <w:shd w:val="clear" w:color="auto" w:fill="FFFFFF"/>
        <w:spacing w:after="24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71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Jeżeli dotrzymanie tego terminu nie jest możliwe, podmiot publiczny niezwłocznie informuje o tym, kiedy realizacja żądania będzie możliwa, przy czym termin ten nie może być dłuższy niż 2 miesiące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dnia wystąpienia z żądaniem</w:t>
      </w:r>
      <w:r w:rsidRPr="005371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461DAE" w:rsidRDefault="00461DAE" w:rsidP="00461DAE">
      <w:pPr>
        <w:shd w:val="clear" w:color="auto" w:fill="FFFFFF"/>
        <w:spacing w:after="24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71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Jeżeli zapewnienie dostępności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podmiot publiczny </w:t>
      </w:r>
      <w:r w:rsidRPr="005371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jest możliwe, podmiot publiczny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informuje o tym niezwłocznie osobę występującą z żądaniem i wskazuje  </w:t>
      </w:r>
      <w:r w:rsidRPr="005371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371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alternatywny sposób dostępu do informacji.</w:t>
      </w:r>
    </w:p>
    <w:p w:rsidR="00461DAE" w:rsidRPr="005371E2" w:rsidRDefault="00461DAE" w:rsidP="00461DAE">
      <w:pPr>
        <w:shd w:val="clear" w:color="auto" w:fill="FFFFFF"/>
        <w:spacing w:after="24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Podmiot publiczny odmawia zapewnienia dostępności cyfrowej, elementu strony internetowej lub aplikacji mobilnej jeżeli wiązałoby się to z ryzykiem naruszenia integralności lub wiarygodności przekazywanych danych.  </w:t>
      </w:r>
      <w:r w:rsidRPr="005371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przypadku, gdy podmiot odmówi realizacji żądania zapewnienia dostępności lub alternatywnego dostępu do informacji, można złożyć skargę na takie działanie.</w:t>
      </w:r>
    </w:p>
    <w:p w:rsidR="00F16E45" w:rsidRPr="00F608D5" w:rsidRDefault="00F608D5" w:rsidP="008A3B25">
      <w:pPr>
        <w:shd w:val="clear" w:color="auto" w:fill="FFFFFF"/>
        <w:spacing w:after="240" w:line="240" w:lineRule="auto"/>
        <w:ind w:left="705"/>
        <w:jc w:val="both"/>
        <w:textAlignment w:val="baseline"/>
        <w:rPr>
          <w:sz w:val="19"/>
          <w:szCs w:val="19"/>
        </w:rPr>
      </w:pPr>
      <w:r w:rsidRPr="00F60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Link do strony internetowej Rzecznika Praw Obywatelskich</w:t>
      </w:r>
      <w:r w:rsidR="003534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8A3B25" w:rsidRPr="0035340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https://www.gov.pl/web/rpp/rzecznik-praw-pacjenta</w:t>
      </w:r>
    </w:p>
    <w:p w:rsidR="00461DAE" w:rsidRPr="00F16E45" w:rsidRDefault="00410D27" w:rsidP="00461DAE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1B75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F16E45">
        <w:rPr>
          <w:rFonts w:ascii="Times New Roman" w:hAnsi="Times New Roman" w:cs="Times New Roman"/>
          <w:b/>
          <w:i/>
          <w:sz w:val="24"/>
          <w:szCs w:val="24"/>
        </w:rPr>
        <w:t>. Ocena dostępności cyfrowej treści internetowych (załącznik do ustawy)</w:t>
      </w:r>
    </w:p>
    <w:p w:rsidR="00410D27" w:rsidRDefault="00410D27" w:rsidP="00410D27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Times New Roman" w:eastAsia="F" w:hAnsi="Times New Roman" w:cs="Times New Roman"/>
          <w:i/>
          <w:color w:val="000000"/>
          <w:kern w:val="3"/>
          <w:sz w:val="24"/>
          <w:szCs w:val="24"/>
          <w:lang w:eastAsia="zh-CN" w:bidi="hi-IN"/>
        </w:rPr>
      </w:pPr>
      <w:r w:rsidRPr="00B17E53">
        <w:rPr>
          <w:rFonts w:ascii="Times New Roman" w:eastAsia="F" w:hAnsi="Times New Roman" w:cs="Times New Roman"/>
          <w:i/>
          <w:color w:val="000000"/>
          <w:kern w:val="3"/>
          <w:sz w:val="24"/>
          <w:szCs w:val="24"/>
          <w:lang w:eastAsia="zh-CN" w:bidi="hi-IN"/>
        </w:rPr>
        <w:t>Tabela podsumowująca badanie dostępności cyfrowej</w:t>
      </w:r>
    </w:p>
    <w:p w:rsidR="00410D27" w:rsidRDefault="00410D27" w:rsidP="00410D27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Times New Roman" w:eastAsia="F" w:hAnsi="Times New Roman" w:cs="Times New Roman"/>
          <w:i/>
          <w:color w:val="000000"/>
          <w:kern w:val="3"/>
          <w:sz w:val="24"/>
          <w:szCs w:val="24"/>
          <w:lang w:eastAsia="zh-CN" w:bidi="hi-IN"/>
        </w:rPr>
      </w:pPr>
    </w:p>
    <w:tbl>
      <w:tblPr>
        <w:tblW w:w="8990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5"/>
        <w:gridCol w:w="4038"/>
        <w:gridCol w:w="4517"/>
      </w:tblGrid>
      <w:tr w:rsidR="00410D27" w:rsidRPr="00B17E53" w:rsidTr="00B93557">
        <w:trPr>
          <w:cantSplit/>
          <w:tblHeader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pl-PL" w:bidi="hi-IN"/>
              </w:rPr>
              <w:t>Lp.</w:t>
            </w:r>
          </w:p>
        </w:tc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4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4"/>
                <w:lang w:eastAsia="pl-PL" w:bidi="hi-IN"/>
              </w:rPr>
              <w:t>Kryterium sukcesu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4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4"/>
                <w:lang w:eastAsia="pl-PL" w:bidi="hi-IN"/>
              </w:rPr>
              <w:t>Adres www, ewentualne uwagi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1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2" w:name="_1.1.1_-_Treść"/>
            <w:bookmarkStart w:id="3" w:name="kryterium_111"/>
            <w:bookmarkEnd w:id="2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1.1.1 - Treść nietekstowa</w:t>
            </w:r>
            <w:bookmarkEnd w:id="3"/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8A3B25"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0"/>
                <w:lang w:eastAsia="pl-PL" w:bidi="hi-IN"/>
              </w:rPr>
              <w:t>Pozytywnie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2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4" w:name="_1.2.1_-_Tylko"/>
            <w:bookmarkEnd w:id="4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1.2.1 - Tylko audio lub tylko wideo (nagranie)</w:t>
            </w:r>
          </w:p>
        </w:tc>
        <w:tc>
          <w:tcPr>
            <w:tcW w:w="4517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5" w:name="kryterium_121"/>
            <w:bookmarkEnd w:id="5"/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3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6" w:name="_1.2.2_-_Napisy"/>
            <w:bookmarkEnd w:id="6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1.2.2 - Napisy rozszerzone (nagranie)</w:t>
            </w:r>
          </w:p>
        </w:tc>
        <w:tc>
          <w:tcPr>
            <w:tcW w:w="4517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7" w:name="kryterium_122"/>
            <w:bookmarkEnd w:id="7"/>
            <w:r w:rsidRPr="008A3B25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Nie dotyczy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4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8" w:name="_1.2.3_-_Audiodeskrypcja"/>
            <w:bookmarkEnd w:id="8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1.2.3 - </w:t>
            </w:r>
            <w:proofErr w:type="spellStart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Audiodeskrypcja</w:t>
            </w:r>
            <w:proofErr w:type="spellEnd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 lub alternatywa tekstowa dla mediów (nagranie)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9" w:name="kryterium_123"/>
            <w:bookmarkEnd w:id="9"/>
            <w:r w:rsidRPr="008A3B25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Nie dotyczy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5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10" w:name="_1.2.5_–_Audiodeskrypcja"/>
            <w:bookmarkEnd w:id="10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1.2.5 – </w:t>
            </w:r>
            <w:proofErr w:type="spellStart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Audiodeskrypcja</w:t>
            </w:r>
            <w:proofErr w:type="spellEnd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 (nagranie)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0"/>
                <w:lang w:eastAsia="pl-PL" w:bidi="hi-IN"/>
              </w:rPr>
            </w:pPr>
            <w:bookmarkStart w:id="11" w:name="kryterium_125"/>
            <w:bookmarkEnd w:id="11"/>
            <w:r w:rsidRPr="008A3B25"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0"/>
                <w:lang w:eastAsia="pl-PL" w:bidi="hi-IN"/>
              </w:rPr>
              <w:t>Nie dotyczy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6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12" w:name="_1.3.1_-_Informacje"/>
            <w:bookmarkEnd w:id="12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1.3.1 - Informacje i relacje</w:t>
            </w:r>
          </w:p>
        </w:tc>
        <w:tc>
          <w:tcPr>
            <w:tcW w:w="4517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13" w:name="kryterium_131"/>
            <w:bookmarkEnd w:id="13"/>
            <w:r w:rsidRPr="008A3B25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Pozytywnie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7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14" w:name="_1.3.2_-_Zrozumiała"/>
            <w:bookmarkEnd w:id="14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1.3.2 - Zrozumiała kolejność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15" w:name="kryterium_132"/>
            <w:bookmarkEnd w:id="15"/>
            <w:r w:rsidRPr="008A3B25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Pozytywnie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8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16" w:name="_1.3.3_-_Właściwości"/>
            <w:bookmarkEnd w:id="16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1.3.3 - Właściwości zmysłowe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17" w:name="kryterium_133"/>
            <w:bookmarkEnd w:id="17"/>
            <w:r w:rsidRPr="008A3B25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Pozytywnie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9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18" w:name="_1.3.4_–_Orientacja"/>
            <w:bookmarkEnd w:id="18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1.3.4 – Orientacja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8A3B25"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0"/>
                <w:lang w:eastAsia="pl-PL" w:bidi="hi-IN"/>
              </w:rPr>
              <w:t>Pozytywnie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10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19" w:name="_1.3.5_–_Określenie"/>
            <w:bookmarkEnd w:id="19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1.3.5 – Określenie pożądanej wartości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0"/>
                <w:lang w:eastAsia="pl-PL" w:bidi="hi-IN"/>
              </w:rPr>
            </w:pPr>
            <w:bookmarkStart w:id="20" w:name="kryterium_135"/>
            <w:bookmarkEnd w:id="20"/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11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21" w:name="_1.4.1_-_Użycie"/>
            <w:bookmarkEnd w:id="21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1.4.1 - Użycie koloru</w:t>
            </w:r>
          </w:p>
        </w:tc>
        <w:tc>
          <w:tcPr>
            <w:tcW w:w="4517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22" w:name="kryterium_141"/>
            <w:bookmarkEnd w:id="22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Pozytywnie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12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23" w:name="_1.4.2_-_Kontrola"/>
            <w:bookmarkEnd w:id="23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1.4.2 - Kontrola odtwarzania dźwięku</w:t>
            </w:r>
          </w:p>
        </w:tc>
        <w:tc>
          <w:tcPr>
            <w:tcW w:w="4517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24" w:name="kryterium_142"/>
            <w:bookmarkEnd w:id="24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Pozytywnie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13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25" w:name="_1.4.3_-_Kontrast"/>
            <w:bookmarkEnd w:id="25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1.4.3 - Kontrast (minimalny)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26" w:name="kryterium_143"/>
            <w:bookmarkEnd w:id="26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Pozytywnie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14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27" w:name="_1.4.4_-_Zmiana"/>
            <w:bookmarkEnd w:id="27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1.4.4 - Zmiana rozmiaru tekstu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28" w:name="kryterium_144"/>
            <w:bookmarkEnd w:id="28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Pozytywnie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15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29" w:name="_1.4.5_-_Tekst"/>
            <w:bookmarkEnd w:id="29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1.4.5 – Obrazy tekstu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30" w:name="kryterium_145"/>
            <w:bookmarkEnd w:id="30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Pozytywnie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16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31" w:name="_1.4.10_–_Zawijanie"/>
            <w:bookmarkEnd w:id="31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1.4.10 – Dopasowanie do ekranu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0"/>
                <w:lang w:eastAsia="pl-PL" w:bidi="hi-IN"/>
              </w:rPr>
            </w:pPr>
            <w:bookmarkStart w:id="32" w:name="kryterium_1410"/>
            <w:bookmarkEnd w:id="32"/>
            <w:r w:rsidRPr="008A3B25"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0"/>
                <w:lang w:eastAsia="pl-PL" w:bidi="hi-IN"/>
              </w:rPr>
              <w:t>Pozytywnie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17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33" w:name="_1.4.11_–_Kontrast"/>
            <w:bookmarkEnd w:id="33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1.4.11 – Kontrast elementów nietekstowych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0"/>
                <w:lang w:eastAsia="pl-PL" w:bidi="hi-IN"/>
              </w:rPr>
            </w:pPr>
            <w:bookmarkStart w:id="34" w:name="kryterium_1411"/>
            <w:bookmarkEnd w:id="34"/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18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35" w:name="_1.4.12_–_Odstępy"/>
            <w:bookmarkEnd w:id="35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1.4.12 – Odstępy w tekście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0"/>
                <w:lang w:eastAsia="pl-PL" w:bidi="hi-IN"/>
              </w:rPr>
            </w:pPr>
            <w:bookmarkStart w:id="36" w:name="kryterium_1412"/>
            <w:bookmarkEnd w:id="36"/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19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37" w:name="_1.4.13_–_Treści"/>
            <w:bookmarkEnd w:id="37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1.4.13 – Treści spod kursora lub fokusu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0"/>
                <w:lang w:eastAsia="pl-PL" w:bidi="hi-IN"/>
              </w:rPr>
            </w:pPr>
            <w:bookmarkStart w:id="38" w:name="kryterium_1413"/>
            <w:bookmarkEnd w:id="38"/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20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39" w:name="_2.1.1_-_Klawiatura"/>
            <w:bookmarkEnd w:id="39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2.1.1 - Klawiatura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40" w:name="kryterium_211"/>
            <w:bookmarkEnd w:id="40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Pozytywnie, odtwarzacze </w:t>
            </w:r>
            <w:r w:rsidRPr="00353402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Nie dotyczy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21</w:t>
            </w:r>
          </w:p>
        </w:tc>
        <w:tc>
          <w:tcPr>
            <w:tcW w:w="40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41" w:name="_2.1.2_-_Brak"/>
            <w:bookmarkEnd w:id="41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2.1.2 - Bez pułapki na klawiaturę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42" w:name="kryterium_212"/>
            <w:bookmarkEnd w:id="42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Pozytywnie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22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43" w:name="_2.1.4_–_Jednoliterowe"/>
            <w:bookmarkEnd w:id="43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2.1.4 – Jednoznakowe skróty klawiaturowe</w:t>
            </w:r>
          </w:p>
        </w:tc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bCs/>
                <w:color w:val="FFFFFF"/>
                <w:kern w:val="3"/>
                <w:sz w:val="24"/>
                <w:szCs w:val="20"/>
                <w:lang w:eastAsia="pl-PL" w:bidi="hi-IN"/>
              </w:rPr>
            </w:pPr>
            <w:bookmarkStart w:id="44" w:name="kryterium_214"/>
            <w:bookmarkEnd w:id="44"/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lastRenderedPageBreak/>
              <w:t>23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45" w:name="_2.2.1_-_Możliwość"/>
            <w:bookmarkEnd w:id="45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2.2.1 - Dostosowanie czasu</w:t>
            </w:r>
          </w:p>
        </w:tc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46" w:name="kryterium_221"/>
            <w:bookmarkEnd w:id="46"/>
            <w:r w:rsidRPr="008A3B25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Pozytywna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24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47" w:name="_2.2.2_-_Wstrzymywanie"/>
            <w:bookmarkEnd w:id="47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2.2.2 – Pauza, zatrzymanie, ukrycie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48" w:name="kryterium_222"/>
            <w:bookmarkEnd w:id="48"/>
            <w:r w:rsidRPr="008A3B25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Pozytywna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25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49" w:name="_2.3.1_-_Trzy"/>
            <w:bookmarkEnd w:id="49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2.3.1 - Trzy błyski lub wartości poniżej progu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50" w:name="kryterium_231"/>
            <w:bookmarkEnd w:id="50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Pozytywnie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26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51" w:name="_2.4.1_-_Możliwość"/>
            <w:bookmarkEnd w:id="51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2.4.1 - Możliwość pominięcia bloków</w:t>
            </w:r>
          </w:p>
        </w:tc>
        <w:tc>
          <w:tcPr>
            <w:tcW w:w="451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52" w:name="kryterium_241"/>
            <w:bookmarkEnd w:id="52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Pozytywnie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27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53" w:name="_2.4.2_-_Tytuły"/>
            <w:bookmarkEnd w:id="53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2.4.2 - Tytuł strony</w:t>
            </w:r>
          </w:p>
        </w:tc>
        <w:tc>
          <w:tcPr>
            <w:tcW w:w="4517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54" w:name="kryterium_242"/>
            <w:bookmarkEnd w:id="54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Pozytywnie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28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55" w:name="_2.4.3_-_Kolejność"/>
            <w:bookmarkEnd w:id="55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2.4.3 - Kolejność fokusu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56" w:name="kryterium_243"/>
            <w:bookmarkEnd w:id="56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Pozytywnie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29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57" w:name="_2.4.4_-_Cel"/>
            <w:bookmarkEnd w:id="57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2.4.4 - Cel łącza (w kontekście)</w:t>
            </w:r>
          </w:p>
        </w:tc>
        <w:tc>
          <w:tcPr>
            <w:tcW w:w="4517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58" w:name="kryterium_244"/>
            <w:bookmarkEnd w:id="58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Negatywnie, Brak otwierania automatycznych podstron – Pozytywnie,</w:t>
            </w:r>
          </w:p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linki - negatywnie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30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59" w:name="_2.4.5_-_Wiele"/>
            <w:bookmarkEnd w:id="59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2.4.5 - Wiele dróg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60" w:name="kryterium_245"/>
            <w:bookmarkEnd w:id="60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Pozytywnie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31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61" w:name="_2.4.6_-_Nagłówki"/>
            <w:bookmarkEnd w:id="61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2.4.6 - Nagłówki i etykiety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62" w:name="kryterium_246"/>
            <w:bookmarkEnd w:id="62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Pozytywnie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32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63" w:name="_2.4.7_-_Widoczny"/>
            <w:bookmarkEnd w:id="63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2.4.7 - Widoczny fokus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Pozytywnie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33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64" w:name="_2.5.1_–_Gesty"/>
            <w:bookmarkEnd w:id="64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2.5.1 – Gesty dotykowe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0"/>
                <w:lang w:eastAsia="pl-PL" w:bidi="hi-IN"/>
              </w:rPr>
            </w:pPr>
            <w:bookmarkStart w:id="65" w:name="kryterium_251"/>
            <w:bookmarkEnd w:id="65"/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34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66" w:name="_2.5.2_–_Anulowanie"/>
            <w:bookmarkEnd w:id="66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2.5.2 – Rezygnacja ze wskazania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140ED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0"/>
                <w:lang w:eastAsia="pl-PL" w:bidi="hi-IN"/>
              </w:rPr>
            </w:pPr>
            <w:bookmarkStart w:id="67" w:name="kryterium_252"/>
            <w:bookmarkEnd w:id="67"/>
            <w:r w:rsidRPr="00140ED5"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0"/>
                <w:lang w:eastAsia="pl-PL" w:bidi="hi-IN"/>
              </w:rPr>
              <w:t>Nie dotyczy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35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68" w:name="_2.5.3_–_Etykieta"/>
            <w:bookmarkEnd w:id="68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2.5.3 – Etykieta w nazwie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0"/>
                <w:lang w:eastAsia="pl-PL" w:bidi="hi-IN"/>
              </w:rPr>
            </w:pPr>
            <w:bookmarkStart w:id="69" w:name="kryterium_253"/>
            <w:bookmarkEnd w:id="69"/>
            <w:r w:rsidRPr="008A3B25"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0"/>
                <w:lang w:eastAsia="pl-PL" w:bidi="hi-IN"/>
              </w:rPr>
              <w:t>Pozytywna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36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70" w:name="_2.5.4_–_Aktywowanie"/>
            <w:bookmarkEnd w:id="70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2.5.4 – Aktywowanie ruchem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0"/>
                <w:lang w:eastAsia="pl-PL" w:bidi="hi-IN"/>
              </w:rPr>
            </w:pPr>
            <w:bookmarkStart w:id="71" w:name="kryterium_254"/>
            <w:bookmarkEnd w:id="71"/>
            <w:r w:rsidRPr="008A3B25"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0"/>
                <w:lang w:eastAsia="pl-PL" w:bidi="hi-IN"/>
              </w:rPr>
              <w:t>Nie dotyczy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37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72" w:name="_3.1.1_-_Język"/>
            <w:bookmarkEnd w:id="72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3.1.1 - Język strony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73" w:name="kryterium_311"/>
            <w:bookmarkEnd w:id="73"/>
            <w:r w:rsidRPr="008A3B25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Pozytywna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38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74" w:name="_3.1.2_-_Język"/>
            <w:bookmarkEnd w:id="74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3.1.2 - Język części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75" w:name="kryterium_312"/>
            <w:bookmarkEnd w:id="75"/>
            <w:r w:rsidRPr="008A3B25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Nie dotyczy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39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76" w:name="_3.2.1_-_Po"/>
            <w:bookmarkEnd w:id="76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3.2.1 - Po otrzymaniu fokusu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77" w:name="kryterium_321"/>
            <w:bookmarkEnd w:id="77"/>
            <w:r w:rsidRPr="008A3B25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Pozytywnie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40</w:t>
            </w:r>
          </w:p>
        </w:tc>
        <w:tc>
          <w:tcPr>
            <w:tcW w:w="40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78" w:name="_3.2.2_-_Podczas"/>
            <w:bookmarkEnd w:id="78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3.2.2 - Podczas wprowadzania danych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79" w:name="kryterium_322"/>
            <w:bookmarkEnd w:id="79"/>
            <w:r w:rsidRPr="008A3B25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Pozytywnie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41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80" w:name="_3.2.3_-_Konsekwentna"/>
            <w:bookmarkEnd w:id="80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3.2.3 - Spójna nawigacja</w:t>
            </w:r>
          </w:p>
        </w:tc>
        <w:tc>
          <w:tcPr>
            <w:tcW w:w="4517" w:type="dxa"/>
            <w:tcBorders>
              <w:top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81" w:name="kryterium_323"/>
            <w:bookmarkEnd w:id="81"/>
            <w:r w:rsidRPr="008A3B25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Pozytywna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42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82" w:name="_3.2.4_-_Konsekwentna"/>
            <w:bookmarkEnd w:id="82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3.2.4 – Spójna identyfikacja</w:t>
            </w:r>
          </w:p>
        </w:tc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83" w:name="kryterium_324"/>
            <w:bookmarkEnd w:id="83"/>
            <w:r w:rsidRPr="008A3B25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Negatywnie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43</w:t>
            </w:r>
          </w:p>
        </w:tc>
        <w:tc>
          <w:tcPr>
            <w:tcW w:w="40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84" w:name="_3.3.1_-_Identyfikacja"/>
            <w:bookmarkEnd w:id="84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3.3.1 - Identyfikacja błędu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85" w:name="kryterium_331"/>
            <w:bookmarkEnd w:id="85"/>
            <w:r w:rsidRPr="008A3B25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Pozytywnie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44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86" w:name="_3.3.2_-_Etykiety"/>
            <w:bookmarkEnd w:id="86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3.3.2 - Etykiety lub instrukcje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87" w:name="kryterium_332"/>
            <w:bookmarkEnd w:id="87"/>
            <w:r w:rsidRPr="008A3B25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Pozytywnie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45</w:t>
            </w:r>
          </w:p>
        </w:tc>
        <w:tc>
          <w:tcPr>
            <w:tcW w:w="40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88" w:name="_3.3.3_-_Sugestie"/>
            <w:bookmarkEnd w:id="88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3.3.3 - Sugestie korekty błędów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89" w:name="kryterium_333"/>
            <w:bookmarkEnd w:id="89"/>
            <w:r w:rsidRPr="008A3B25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Negatywnie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46</w:t>
            </w:r>
          </w:p>
        </w:tc>
        <w:tc>
          <w:tcPr>
            <w:tcW w:w="40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90" w:name="_3.3.4_-_Zapobieganie"/>
            <w:bookmarkEnd w:id="90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3.3.4 - Zapobieganie błędom (prawnym, finansowym, w danych)</w:t>
            </w:r>
          </w:p>
        </w:tc>
        <w:tc>
          <w:tcPr>
            <w:tcW w:w="451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91" w:name="kryterium_334"/>
            <w:bookmarkEnd w:id="91"/>
            <w:r w:rsidRPr="008A3B25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Nie dotyczy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47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92" w:name="_4.1.1_-_Parsowanie"/>
            <w:bookmarkEnd w:id="92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4.1.1 – Poprawność kodu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A3B25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Pozytywnie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48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93" w:name="_4.1.2_-_Nazwa,"/>
            <w:bookmarkEnd w:id="93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4.1.2 - Nazwa, rola, wartość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94" w:name="kryterium_412"/>
            <w:bookmarkEnd w:id="94"/>
            <w:r w:rsidRPr="008A3B25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Pozytywna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49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95" w:name="_4.1.3_–_Komunikaty"/>
            <w:bookmarkEnd w:id="95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4.1.3 – Komunikaty o stanie</w:t>
            </w:r>
          </w:p>
        </w:tc>
        <w:tc>
          <w:tcPr>
            <w:tcW w:w="451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0"/>
                <w:lang w:eastAsia="pl-PL" w:bidi="hi-IN"/>
              </w:rPr>
            </w:pPr>
            <w:bookmarkStart w:id="96" w:name="kryterium_413"/>
            <w:bookmarkEnd w:id="96"/>
            <w:r w:rsidRPr="008A3B25"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0"/>
                <w:lang w:eastAsia="pl-PL" w:bidi="hi-IN"/>
              </w:rPr>
              <w:t>Pozytywna</w:t>
            </w:r>
          </w:p>
        </w:tc>
      </w:tr>
    </w:tbl>
    <w:p w:rsidR="00410D27" w:rsidRDefault="00410D27" w:rsidP="00410D27">
      <w:pPr>
        <w:spacing w:before="100" w:beforeAutospacing="1" w:after="100" w:afterAutospacing="1" w:line="240" w:lineRule="auto"/>
        <w:outlineLvl w:val="2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410D27" w:rsidRPr="00F16E45" w:rsidRDefault="002321FA" w:rsidP="00F608D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6E45">
        <w:rPr>
          <w:rFonts w:ascii="Times New Roman" w:hAnsi="Times New Roman" w:cs="Times New Roman"/>
          <w:b/>
          <w:i/>
          <w:sz w:val="24"/>
          <w:szCs w:val="24"/>
        </w:rPr>
        <w:t xml:space="preserve"> Dostęp alternatywny</w:t>
      </w:r>
      <w:r w:rsidR="00543D8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608D5" w:rsidRDefault="00A81794" w:rsidP="00F608D5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Częściowa zgodność / częściowa niezgodność </w:t>
      </w:r>
      <w:r w:rsidR="005371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strony internetowej </w:t>
      </w:r>
      <w:r w:rsidR="00DA20D6" w:rsidRPr="00DA20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wytycznymi ustawy</w:t>
      </w:r>
      <w:r w:rsidR="00DA20D6" w:rsidRPr="00DA20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dostępności cyfrowej stron internetowych i aplikacji mobilnych podmiotów publicznych</w:t>
      </w:r>
      <w:r w:rsidR="00410D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ynika z faktu, że zakła</w:t>
      </w:r>
      <w:r w:rsidR="00D003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410D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chwilę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publikacji </w:t>
      </w:r>
      <w:r w:rsidR="00D003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niejszej „deklaracji”  nie j</w:t>
      </w:r>
      <w:r w:rsidR="00D003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stanie </w:t>
      </w:r>
      <w:r w:rsidR="00D003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pełni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</w:t>
      </w:r>
      <w:r w:rsidR="00D003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wnić  </w:t>
      </w:r>
      <w:r w:rsidR="00D003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dostępności cyfrowej.</w:t>
      </w:r>
      <w:r w:rsidR="00410D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003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608D5" w:rsidRDefault="00F608D5" w:rsidP="00410D27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0D27" w:rsidRPr="00F608D5" w:rsidRDefault="00A81794" w:rsidP="00F608D5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608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Zakład zapewnia w związku z tym </w:t>
      </w:r>
      <w:r w:rsidR="00D003A5" w:rsidRPr="00F608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Pr="00F608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dostęp alternatywny</w:t>
      </w:r>
      <w:r w:rsidR="00D003A5" w:rsidRPr="00F608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: (art. 7 ustawy) w postaci zapewnienia kontaktu telefonicznego, korespondencyjnego i za pomocą środków komunikacji elektronicznej. </w:t>
      </w:r>
    </w:p>
    <w:p w:rsidR="00410D27" w:rsidRDefault="00410D27" w:rsidP="00410D27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20D6" w:rsidRPr="002321FA" w:rsidRDefault="00F608D5" w:rsidP="00410D27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16E45" w:rsidRPr="00052181" w:rsidRDefault="00F608D5" w:rsidP="00F608D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2181">
        <w:rPr>
          <w:rFonts w:ascii="Times New Roman" w:hAnsi="Times New Roman" w:cs="Times New Roman"/>
          <w:b/>
          <w:sz w:val="24"/>
          <w:szCs w:val="24"/>
        </w:rPr>
        <w:lastRenderedPageBreak/>
        <w:t>Informacje dodatkowe:</w:t>
      </w:r>
    </w:p>
    <w:p w:rsidR="00F608D5" w:rsidRPr="00052181" w:rsidRDefault="00F608D5" w:rsidP="00F16E45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21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A20D6" w:rsidRPr="00052181" w:rsidRDefault="00DA20D6" w:rsidP="002D2841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21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2020 Gmina Stalowa Wola jako podmiot tworzący zadeklarowała objęcie naszego zakładu projektem polegającym </w:t>
      </w:r>
      <w:r w:rsidR="00D003A5" w:rsidRPr="000521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Pr="000521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dostosowaniu stron internetowych podległych jednostek do pełnej zdolności z WCAG 2.1. W tej kwestii prowadzone są prace, których efektem będzie uzyskanie przez nasz zakład pełnej zgodności. </w:t>
      </w:r>
    </w:p>
    <w:p w:rsidR="005371E2" w:rsidRPr="00052181" w:rsidRDefault="005371E2" w:rsidP="005371E2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21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608D5" w:rsidRPr="00052181" w:rsidRDefault="00543D8E" w:rsidP="00F608D5">
      <w:pPr>
        <w:pStyle w:val="Akapitzlist"/>
        <w:numPr>
          <w:ilvl w:val="0"/>
          <w:numId w:val="6"/>
        </w:num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521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Data </w:t>
      </w:r>
      <w:r w:rsidR="00A231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aktualizacji</w:t>
      </w:r>
      <w:r w:rsidRPr="000521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F608D5" w:rsidRPr="000521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oświadczenia  </w:t>
      </w:r>
      <w:r w:rsidR="00A231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10.06</w:t>
      </w:r>
      <w:r w:rsidR="00B75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.2022r</w:t>
      </w:r>
      <w:r w:rsidR="00F608D5" w:rsidRPr="000521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. </w:t>
      </w:r>
    </w:p>
    <w:p w:rsidR="00F608D5" w:rsidRPr="00052181" w:rsidRDefault="00F608D5" w:rsidP="00F608D5">
      <w:pPr>
        <w:pStyle w:val="Akapitzlist"/>
        <w:shd w:val="clear" w:color="auto" w:fill="FFFFFF"/>
        <w:spacing w:after="24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</w:p>
    <w:p w:rsidR="00F608D5" w:rsidRPr="00052181" w:rsidRDefault="00F608D5" w:rsidP="00F608D5">
      <w:pPr>
        <w:pStyle w:val="Akapitzlist"/>
        <w:numPr>
          <w:ilvl w:val="0"/>
          <w:numId w:val="6"/>
        </w:num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521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Niniejsza deklaracja podlega przeglądowi i aktualizacji corocznie, do 31 marca danego roku oraz każdorazowo jeżeli zmienia się stan faktyczny w zakresie dostępności.</w:t>
      </w:r>
    </w:p>
    <w:p w:rsidR="005371E2" w:rsidRPr="00052181" w:rsidRDefault="00F608D5" w:rsidP="005371E2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strike/>
          <w:color w:val="00B050"/>
          <w:sz w:val="24"/>
          <w:szCs w:val="24"/>
        </w:rPr>
      </w:pPr>
      <w:r w:rsidRPr="00052181">
        <w:rPr>
          <w:rFonts w:ascii="Times New Roman" w:hAnsi="Times New Roman" w:cs="Times New Roman"/>
          <w:strike/>
          <w:color w:val="00B050"/>
          <w:sz w:val="24"/>
          <w:szCs w:val="24"/>
        </w:rPr>
        <w:t xml:space="preserve"> </w:t>
      </w:r>
    </w:p>
    <w:p w:rsidR="00D003A5" w:rsidRPr="004655C9" w:rsidRDefault="00F979BF" w:rsidP="005371E2">
      <w:pPr>
        <w:pStyle w:val="Akapitzlist"/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 xml:space="preserve"> </w:t>
      </w:r>
    </w:p>
    <w:p w:rsidR="005371E2" w:rsidRPr="004655C9" w:rsidRDefault="005371E2" w:rsidP="005371E2">
      <w:pPr>
        <w:pStyle w:val="Akapitzlist"/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</w:pPr>
    </w:p>
    <w:p w:rsidR="005371E2" w:rsidRDefault="00F608D5" w:rsidP="005371E2">
      <w:pPr>
        <w:pStyle w:val="Akapitzlist"/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DA20D6" w:rsidRDefault="00F608D5" w:rsidP="002032A4">
      <w:pPr>
        <w:pStyle w:val="Akapitzlist"/>
        <w:shd w:val="clear" w:color="auto" w:fill="FFFFFF"/>
        <w:spacing w:before="408" w:after="144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5371E2" w:rsidRPr="005371E2" w:rsidRDefault="005371E2" w:rsidP="005371E2">
      <w:pPr>
        <w:pStyle w:val="Akapitzlist"/>
        <w:shd w:val="clear" w:color="auto" w:fill="FFFFFF"/>
        <w:spacing w:before="408" w:after="144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A20D6" w:rsidRPr="00DA20D6" w:rsidRDefault="00DA20D6" w:rsidP="00DA20D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DA20D6" w:rsidRPr="00DA20D6" w:rsidRDefault="00DA20D6" w:rsidP="00DA20D6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DA20D6" w:rsidRPr="00DA20D6" w:rsidSect="00A90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47D9"/>
    <w:multiLevelType w:val="hybridMultilevel"/>
    <w:tmpl w:val="185CF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87E86"/>
    <w:multiLevelType w:val="hybridMultilevel"/>
    <w:tmpl w:val="5C28E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E3D52"/>
    <w:multiLevelType w:val="hybridMultilevel"/>
    <w:tmpl w:val="C3181656"/>
    <w:lvl w:ilvl="0" w:tplc="0415000F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67F1B"/>
    <w:multiLevelType w:val="hybridMultilevel"/>
    <w:tmpl w:val="89EE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C192F"/>
    <w:multiLevelType w:val="hybridMultilevel"/>
    <w:tmpl w:val="40D217DC"/>
    <w:lvl w:ilvl="0" w:tplc="0415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F376C9"/>
    <w:multiLevelType w:val="multilevel"/>
    <w:tmpl w:val="87262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2657F"/>
    <w:rsid w:val="00052181"/>
    <w:rsid w:val="00095929"/>
    <w:rsid w:val="000E71E0"/>
    <w:rsid w:val="000F789D"/>
    <w:rsid w:val="001007E6"/>
    <w:rsid w:val="00140ED5"/>
    <w:rsid w:val="002032A4"/>
    <w:rsid w:val="002321FA"/>
    <w:rsid w:val="00232C77"/>
    <w:rsid w:val="002D2841"/>
    <w:rsid w:val="00353402"/>
    <w:rsid w:val="00410D27"/>
    <w:rsid w:val="00461DAE"/>
    <w:rsid w:val="004655C9"/>
    <w:rsid w:val="004A05FE"/>
    <w:rsid w:val="00505825"/>
    <w:rsid w:val="00534CAD"/>
    <w:rsid w:val="005371E2"/>
    <w:rsid w:val="00543D8E"/>
    <w:rsid w:val="005856A2"/>
    <w:rsid w:val="005A4B58"/>
    <w:rsid w:val="00611D2E"/>
    <w:rsid w:val="0062765F"/>
    <w:rsid w:val="006344E4"/>
    <w:rsid w:val="006505EB"/>
    <w:rsid w:val="00690B85"/>
    <w:rsid w:val="006C4F4C"/>
    <w:rsid w:val="006D4D0D"/>
    <w:rsid w:val="00750329"/>
    <w:rsid w:val="00783469"/>
    <w:rsid w:val="008A3B25"/>
    <w:rsid w:val="00951FD6"/>
    <w:rsid w:val="009A1B75"/>
    <w:rsid w:val="009B094D"/>
    <w:rsid w:val="00A23186"/>
    <w:rsid w:val="00A81794"/>
    <w:rsid w:val="00A90B58"/>
    <w:rsid w:val="00AB2523"/>
    <w:rsid w:val="00AD22E1"/>
    <w:rsid w:val="00AF4D94"/>
    <w:rsid w:val="00B0362E"/>
    <w:rsid w:val="00B17E53"/>
    <w:rsid w:val="00B33D30"/>
    <w:rsid w:val="00B752EF"/>
    <w:rsid w:val="00BC5389"/>
    <w:rsid w:val="00C5733B"/>
    <w:rsid w:val="00CB00A4"/>
    <w:rsid w:val="00D003A5"/>
    <w:rsid w:val="00DA20D6"/>
    <w:rsid w:val="00DB3EE4"/>
    <w:rsid w:val="00E95BC4"/>
    <w:rsid w:val="00EE4B5B"/>
    <w:rsid w:val="00EF3AAC"/>
    <w:rsid w:val="00F16E45"/>
    <w:rsid w:val="00F2657F"/>
    <w:rsid w:val="00F34942"/>
    <w:rsid w:val="00F372D9"/>
    <w:rsid w:val="00F50EDA"/>
    <w:rsid w:val="00F608D5"/>
    <w:rsid w:val="00F9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B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7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6E45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F3A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7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6E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spzoz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ip.e-spzoz.e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-spzoz.eu" TargetMode="External"/><Relationship Id="rId11" Type="http://schemas.openxmlformats.org/officeDocument/2006/relationships/hyperlink" Target="mailto:sekretariat@e-spzoz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-spzoz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e-spzoz.e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9DEB2-7DDB-46B7-818E-44CA3A3C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1662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</dc:creator>
  <cp:lastModifiedBy>kgorczyca</cp:lastModifiedBy>
  <cp:revision>15</cp:revision>
  <dcterms:created xsi:type="dcterms:W3CDTF">2021-09-30T11:43:00Z</dcterms:created>
  <dcterms:modified xsi:type="dcterms:W3CDTF">2022-06-10T07:51:00Z</dcterms:modified>
</cp:coreProperties>
</file>